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Tuesday, June 18th,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D">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F">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1">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2">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3">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7">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8">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withdrawal from CLASS fund for large bills</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purchase of items needed for spring filtration not to exceed $2500.00</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$2500.00 cap for tree removal on road to WCSD spring up to $2500 additional removal upon approval by designated board member</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Final review of WCSD policies</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 </w:t>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1">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6">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7">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