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rPr>
          <w:rFonts w:ascii="Times New Roman" w:cs="Times New Roman" w:eastAsia="Times New Roman" w:hAnsi="Times New Roman"/>
          <w:b/>
          <w:bCs/>
          <w:sz w:val="28"/>
          <w:szCs w:val="28"/>
        </w:rPr>
        <w:t xml:space="preserve">Weott Community Services District</w:t>
      </w:r>
    </w:p>
    <w:p>
      <w:pPr>
        <w:spacing w:after="320"/>
        <w:jc w:val="center"/>
      </w:pPr>
      <w:r>
        <w:rPr>
          <w:rFonts w:ascii="Times New Roman" w:cs="Times New Roman" w:eastAsia="Times New Roman" w:hAnsi="Times New Roman"/>
          <w:b/>
          <w:bCs/>
          <w:sz w:val="26"/>
          <w:szCs w:val="26"/>
        </w:rPr>
        <w:t xml:space="preserve">6.1 CAPITAL ASSETS</w:t>
      </w:r>
    </w:p>
    <w:p>
      <w:pPr>
        <w:spacing w:after="160" w:line="276"/>
        <w:jc w:val="both"/>
      </w:pPr>
      <w:r>
        <w:rPr>
          <w:rFonts w:ascii="Times New Roman" w:cs="Times New Roman" w:eastAsia="Times New Roman" w:hAnsi="Times New Roman"/>
          <w:sz w:val="24"/>
          <w:szCs w:val="24"/>
        </w:rPr>
        <w:t xml:space="preserve">WCSD will identify, record, and track all capital assets so that District property is protected and the District’s financial statements are accurate.</w:t>
      </w:r>
    </w:p>
    <w:p>
      <w:pPr>
        <w:spacing w:after="160" w:line="276"/>
        <w:ind w:left="360" w:hanging="360"/>
        <w:jc w:val="both"/>
      </w:pPr>
      <w:r>
        <w:rPr>
          <w:rFonts w:ascii="Times New Roman" w:cs="Times New Roman" w:eastAsia="Times New Roman" w:hAnsi="Times New Roman"/>
          <w:sz w:val="24"/>
          <w:szCs w:val="24"/>
        </w:rPr>
        <w:t xml:space="preserve">a) </w:t>
      </w:r>
      <w:r>
        <w:rPr>
          <w:rFonts w:ascii="Times New Roman" w:cs="Times New Roman" w:eastAsia="Times New Roman" w:hAnsi="Times New Roman"/>
          <w:b/>
          <w:bCs/>
          <w:sz w:val="24"/>
          <w:szCs w:val="24"/>
        </w:rPr>
        <w:t xml:space="preserve">Capitalization threshold. </w:t>
      </w:r>
      <w:r>
        <w:rPr>
          <w:rFonts w:ascii="Times New Roman" w:cs="Times New Roman" w:eastAsia="Times New Roman" w:hAnsi="Times New Roman"/>
          <w:sz w:val="24"/>
          <w:szCs w:val="24"/>
        </w:rPr>
        <w:t xml:space="preserve">A capital asset is land, or any building, improvement, infrastructure (such as pipelines, tanks, wells, and pumps), vehicle, or equipment with an individual cost of $5,000 or more and a useful life of more than one year. Land is capitalized regardless of cost. Items below the threshold are recorded as expenses when purchased.</w:t>
      </w:r>
    </w:p>
    <w:p>
      <w:pPr>
        <w:spacing w:after="160" w:line="276"/>
        <w:ind w:left="360" w:hanging="360"/>
        <w:jc w:val="both"/>
      </w:pPr>
      <w:r>
        <w:rPr>
          <w:rFonts w:ascii="Times New Roman" w:cs="Times New Roman" w:eastAsia="Times New Roman" w:hAnsi="Times New Roman"/>
          <w:sz w:val="24"/>
          <w:szCs w:val="24"/>
        </w:rPr>
        <w:t xml:space="preserve">b) </w:t>
      </w:r>
      <w:r>
        <w:rPr>
          <w:rFonts w:ascii="Times New Roman" w:cs="Times New Roman" w:eastAsia="Times New Roman" w:hAnsi="Times New Roman"/>
          <w:b/>
          <w:bCs/>
          <w:sz w:val="24"/>
          <w:szCs w:val="24"/>
        </w:rPr>
        <w:t xml:space="preserve">Cost. </w:t>
      </w:r>
      <w:r>
        <w:rPr>
          <w:rFonts w:ascii="Times New Roman" w:cs="Times New Roman" w:eastAsia="Times New Roman" w:hAnsi="Times New Roman"/>
          <w:sz w:val="24"/>
          <w:szCs w:val="24"/>
        </w:rPr>
        <w:t xml:space="preserve">Capital assets are recorded at their full cost, including purchase price, freight, installation, and costs to place the asset in service. Self-constructed assets, such as tanks and pipelines built by District staff or contractors, shall be recorded at the total cost of materials, labor, equipment, and contracted services used to build them. Costs shall be tracked by project until the asset is placed in service. Donated assets are recorded at fair value on the date received.</w:t>
      </w:r>
    </w:p>
    <w:p>
      <w:pPr>
        <w:spacing w:after="160" w:line="276"/>
        <w:ind w:left="360" w:hanging="360"/>
        <w:jc w:val="both"/>
      </w:pPr>
      <w:r>
        <w:rPr>
          <w:rFonts w:ascii="Times New Roman" w:cs="Times New Roman" w:eastAsia="Times New Roman" w:hAnsi="Times New Roman"/>
          <w:sz w:val="24"/>
          <w:szCs w:val="24"/>
        </w:rPr>
        <w:t xml:space="preserve">c) </w:t>
      </w:r>
      <w:r>
        <w:rPr>
          <w:rFonts w:ascii="Times New Roman" w:cs="Times New Roman" w:eastAsia="Times New Roman" w:hAnsi="Times New Roman"/>
          <w:b/>
          <w:bCs/>
          <w:sz w:val="24"/>
          <w:szCs w:val="24"/>
        </w:rPr>
        <w:t xml:space="preserve">Components. </w:t>
      </w:r>
      <w:r>
        <w:rPr>
          <w:rFonts w:ascii="Times New Roman" w:cs="Times New Roman" w:eastAsia="Times New Roman" w:hAnsi="Times New Roman"/>
          <w:sz w:val="24"/>
          <w:szCs w:val="24"/>
        </w:rPr>
        <w:t xml:space="preserve">Infrastructure and other major facilities shall be capitalized by component rather than as a single asset when the facility includes parts with significantly different useful lives. Each component shall be recorded with a clear description so it can be identified and removed from the register when it is replaced.</w:t>
      </w:r>
    </w:p>
    <w:p>
      <w:pPr>
        <w:spacing w:after="160" w:line="276"/>
        <w:ind w:left="360" w:hanging="360"/>
        <w:jc w:val="both"/>
      </w:pPr>
      <w:r>
        <w:rPr>
          <w:rFonts w:ascii="Times New Roman" w:cs="Times New Roman" w:eastAsia="Times New Roman" w:hAnsi="Times New Roman"/>
          <w:sz w:val="24"/>
          <w:szCs w:val="24"/>
        </w:rPr>
        <w:t xml:space="preserve">d) </w:t>
      </w:r>
      <w:r>
        <w:rPr>
          <w:rFonts w:ascii="Times New Roman" w:cs="Times New Roman" w:eastAsia="Times New Roman" w:hAnsi="Times New Roman"/>
          <w:b/>
          <w:bCs/>
          <w:sz w:val="24"/>
          <w:szCs w:val="24"/>
        </w:rPr>
        <w:t xml:space="preserve">Asset register. </w:t>
      </w:r>
      <w:r>
        <w:rPr>
          <w:rFonts w:ascii="Times New Roman" w:cs="Times New Roman" w:eastAsia="Times New Roman" w:hAnsi="Times New Roman"/>
          <w:sz w:val="24"/>
          <w:szCs w:val="24"/>
        </w:rPr>
        <w:t xml:space="preserve">The General Manager shall maintain a detailed capital asset register listing each asset’s description, location, asset tag or serial number, acquisition date, in-service date, cost, funding source (including any grant), estimated useful life, annual depreciation expense, and accumulated depreciation. The register shall be kept up to date and shall support the amounts reported in the District’s financial statements.</w:t>
      </w:r>
    </w:p>
    <w:p>
      <w:pPr>
        <w:spacing w:after="160" w:line="276"/>
        <w:ind w:left="360" w:hanging="360"/>
        <w:jc w:val="both"/>
      </w:pPr>
      <w:r>
        <w:rPr>
          <w:rFonts w:ascii="Times New Roman" w:cs="Times New Roman" w:eastAsia="Times New Roman" w:hAnsi="Times New Roman"/>
          <w:sz w:val="24"/>
          <w:szCs w:val="24"/>
        </w:rPr>
        <w:t xml:space="preserve">e) </w:t>
      </w:r>
      <w:r>
        <w:rPr>
          <w:rFonts w:ascii="Times New Roman" w:cs="Times New Roman" w:eastAsia="Times New Roman" w:hAnsi="Times New Roman"/>
          <w:b/>
          <w:bCs/>
          <w:sz w:val="24"/>
          <w:szCs w:val="24"/>
        </w:rPr>
        <w:t xml:space="preserve">Depreciation. </w:t>
      </w:r>
      <w:r>
        <w:rPr>
          <w:rFonts w:ascii="Times New Roman" w:cs="Times New Roman" w:eastAsia="Times New Roman" w:hAnsi="Times New Roman"/>
          <w:sz w:val="24"/>
          <w:szCs w:val="24"/>
        </w:rPr>
        <w:t xml:space="preserve">Capital assets shall be depreciated using the straight-line method over their estimated useful lives. The District shall use the following estimated useful lives for capital assets:</w:t>
      </w:r>
    </w:p>
    <w:tbl>
      <w:tblPr>
        <w:tblW w:type="dxa" w:w="9240"/>
        <w:tblBorders>
          <w:top w:val="single" w:color="auto" w:sz="4"/>
          <w:left w:val="single" w:color="auto" w:sz="4"/>
          <w:bottom w:val="single" w:color="auto" w:sz="4"/>
          <w:right w:val="single" w:color="auto" w:sz="4"/>
          <w:insideH w:val="single" w:color="auto" w:sz="4"/>
          <w:insideV w:val="single" w:color="auto" w:sz="4"/>
        </w:tblBorders>
      </w:tblPr>
      <w:tblGrid>
        <w:gridCol w:w="2300"/>
        <w:gridCol w:w="4600"/>
        <w:gridCol w:w="2340"/>
      </w:tblGrid>
      <w:tr>
        <w:trPr>
          <w:tblHeader/>
        </w:trPr>
        <w:tc>
          <w:tcPr>
            <w:tcW w:type="dxa" w:w="2300"/>
            <w:shd w:fill="D9D9D9" w:val="clear"/>
            <w:tcMar>
              <w:top w:type="dxa" w:w="60"/>
              <w:left w:type="dxa" w:w="100"/>
              <w:bottom w:type="dxa" w:w="60"/>
              <w:right w:type="dxa" w:w="100"/>
            </w:tcMar>
          </w:tcPr>
          <w:p>
            <w:pPr>
              <w:spacing w:after="0" w:line="240"/>
            </w:pPr>
            <w:r>
              <w:rPr>
                <w:rFonts w:ascii="Times New Roman" w:cs="Times New Roman" w:eastAsia="Times New Roman" w:hAnsi="Times New Roman"/>
                <w:b/>
                <w:bCs/>
                <w:sz w:val="22"/>
                <w:szCs w:val="22"/>
              </w:rPr>
              <w:t xml:space="preserve">Asset Class</w:t>
            </w:r>
          </w:p>
        </w:tc>
        <w:tc>
          <w:tcPr>
            <w:tcW w:type="dxa" w:w="4600"/>
            <w:shd w:fill="D9D9D9" w:val="clear"/>
            <w:tcMar>
              <w:top w:type="dxa" w:w="60"/>
              <w:left w:type="dxa" w:w="100"/>
              <w:bottom w:type="dxa" w:w="60"/>
              <w:right w:type="dxa" w:w="100"/>
            </w:tcMar>
          </w:tcPr>
          <w:p>
            <w:pPr>
              <w:spacing w:after="0" w:line="240"/>
            </w:pPr>
            <w:r>
              <w:rPr>
                <w:rFonts w:ascii="Times New Roman" w:cs="Times New Roman" w:eastAsia="Times New Roman" w:hAnsi="Times New Roman"/>
                <w:b/>
                <w:bCs/>
                <w:sz w:val="22"/>
                <w:szCs w:val="22"/>
              </w:rPr>
              <w:t xml:space="preserve">Examples</w:t>
            </w:r>
          </w:p>
        </w:tc>
        <w:tc>
          <w:tcPr>
            <w:tcW w:type="dxa" w:w="2340"/>
            <w:shd w:fill="D9D9D9" w:val="clear"/>
            <w:tcMar>
              <w:top w:type="dxa" w:w="60"/>
              <w:left w:type="dxa" w:w="100"/>
              <w:bottom w:type="dxa" w:w="60"/>
              <w:right w:type="dxa" w:w="100"/>
            </w:tcMar>
          </w:tcPr>
          <w:p>
            <w:pPr>
              <w:spacing w:after="0" w:line="240"/>
            </w:pPr>
            <w:r>
              <w:rPr>
                <w:rFonts w:ascii="Times New Roman" w:cs="Times New Roman" w:eastAsia="Times New Roman" w:hAnsi="Times New Roman"/>
                <w:b/>
                <w:bCs/>
                <w:sz w:val="22"/>
                <w:szCs w:val="22"/>
              </w:rPr>
              <w:t xml:space="preserve">Estimated Useful Life</w:t>
            </w:r>
          </w:p>
        </w:tc>
      </w:tr>
      <w:tr>
        <w:trPr>
          <w:tblHeader w:val="false"/>
        </w:trPr>
        <w:tc>
          <w:tcPr>
            <w:tcW w:type="dxa" w:w="2300"/>
            <w:tcMar>
              <w:top w:type="dxa" w:w="60"/>
              <w:left w:type="dxa" w:w="100"/>
              <w:bottom w:type="dxa" w:w="60"/>
              <w:right w:type="dxa" w:w="100"/>
            </w:tcMar>
          </w:tcPr>
          <w:p>
            <w:pPr>
              <w:spacing w:after="0" w:line="240"/>
            </w:pPr>
            <w:r>
              <w:rPr>
                <w:rFonts w:ascii="Times New Roman" w:cs="Times New Roman" w:eastAsia="Times New Roman" w:hAnsi="Times New Roman"/>
                <w:b w:val="false"/>
                <w:bCs w:val="false"/>
                <w:sz w:val="22"/>
                <w:szCs w:val="22"/>
              </w:rPr>
              <w:t xml:space="preserve">Land</w:t>
            </w:r>
          </w:p>
        </w:tc>
        <w:tc>
          <w:tcPr>
            <w:tcW w:type="dxa" w:w="4600"/>
            <w:tcMar>
              <w:top w:type="dxa" w:w="60"/>
              <w:left w:type="dxa" w:w="100"/>
              <w:bottom w:type="dxa" w:w="60"/>
              <w:right w:type="dxa" w:w="100"/>
            </w:tcMar>
          </w:tcPr>
          <w:p>
            <w:pPr>
              <w:spacing w:after="0" w:line="240"/>
            </w:pPr>
            <w:r>
              <w:rPr>
                <w:rFonts w:ascii="Times New Roman" w:cs="Times New Roman" w:eastAsia="Times New Roman" w:hAnsi="Times New Roman"/>
                <w:b w:val="false"/>
                <w:bCs w:val="false"/>
                <w:sz w:val="22"/>
                <w:szCs w:val="22"/>
              </w:rPr>
              <w:t xml:space="preserve">Land and easements with indefinite useful lives</w:t>
            </w:r>
          </w:p>
        </w:tc>
        <w:tc>
          <w:tcPr>
            <w:tcW w:type="dxa" w:w="2340"/>
            <w:tcMar>
              <w:top w:type="dxa" w:w="60"/>
              <w:left w:type="dxa" w:w="100"/>
              <w:bottom w:type="dxa" w:w="60"/>
              <w:right w:type="dxa" w:w="100"/>
            </w:tcMar>
          </w:tcPr>
          <w:p>
            <w:pPr>
              <w:spacing w:after="0" w:line="240"/>
            </w:pPr>
            <w:r>
              <w:rPr>
                <w:rFonts w:ascii="Times New Roman" w:cs="Times New Roman" w:eastAsia="Times New Roman" w:hAnsi="Times New Roman"/>
                <w:b w:val="false"/>
                <w:bCs w:val="false"/>
                <w:sz w:val="22"/>
                <w:szCs w:val="22"/>
              </w:rPr>
              <w:t xml:space="preserve">Not depreciated</w:t>
            </w:r>
          </w:p>
        </w:tc>
      </w:tr>
      <w:tr>
        <w:trPr>
          <w:tblHeader w:val="false"/>
        </w:trPr>
        <w:tc>
          <w:tcPr>
            <w:tcW w:type="dxa" w:w="2300"/>
            <w:tcMar>
              <w:top w:type="dxa" w:w="60"/>
              <w:left w:type="dxa" w:w="100"/>
              <w:bottom w:type="dxa" w:w="60"/>
              <w:right w:type="dxa" w:w="100"/>
            </w:tcMar>
          </w:tcPr>
          <w:p>
            <w:pPr>
              <w:spacing w:after="0" w:line="240"/>
            </w:pPr>
            <w:r>
              <w:rPr>
                <w:rFonts w:ascii="Times New Roman" w:cs="Times New Roman" w:eastAsia="Times New Roman" w:hAnsi="Times New Roman"/>
                <w:b w:val="false"/>
                <w:bCs w:val="false"/>
                <w:sz w:val="22"/>
                <w:szCs w:val="22"/>
              </w:rPr>
              <w:t xml:space="preserve">Water infrastructure and major facilities</w:t>
            </w:r>
          </w:p>
        </w:tc>
        <w:tc>
          <w:tcPr>
            <w:tcW w:type="dxa" w:w="4600"/>
            <w:tcMar>
              <w:top w:type="dxa" w:w="60"/>
              <w:left w:type="dxa" w:w="100"/>
              <w:bottom w:type="dxa" w:w="60"/>
              <w:right w:type="dxa" w:w="100"/>
            </w:tcMar>
          </w:tcPr>
          <w:p>
            <w:pPr>
              <w:spacing w:after="0" w:line="240"/>
            </w:pPr>
            <w:r>
              <w:rPr>
                <w:rFonts w:ascii="Times New Roman" w:cs="Times New Roman" w:eastAsia="Times New Roman" w:hAnsi="Times New Roman"/>
                <w:b w:val="false"/>
                <w:bCs w:val="false"/>
                <w:sz w:val="22"/>
                <w:szCs w:val="22"/>
              </w:rPr>
              <w:t xml:space="preserve">Water transmission and distribution lines, storage tanks, wells, springs, intakes, and related major water system assets</w:t>
            </w:r>
          </w:p>
        </w:tc>
        <w:tc>
          <w:tcPr>
            <w:tcW w:type="dxa" w:w="2340"/>
            <w:tcMar>
              <w:top w:type="dxa" w:w="60"/>
              <w:left w:type="dxa" w:w="100"/>
              <w:bottom w:type="dxa" w:w="60"/>
              <w:right w:type="dxa" w:w="100"/>
            </w:tcMar>
          </w:tcPr>
          <w:p>
            <w:pPr>
              <w:spacing w:after="0" w:line="240"/>
            </w:pPr>
            <w:r>
              <w:rPr>
                <w:rFonts w:ascii="Times New Roman" w:cs="Times New Roman" w:eastAsia="Times New Roman" w:hAnsi="Times New Roman"/>
                <w:b w:val="false"/>
                <w:bCs w:val="false"/>
                <w:sz w:val="22"/>
                <w:szCs w:val="22"/>
              </w:rPr>
              <w:t xml:space="preserve">40 years</w:t>
            </w:r>
          </w:p>
        </w:tc>
      </w:tr>
      <w:tr>
        <w:trPr>
          <w:tblHeader w:val="false"/>
        </w:trPr>
        <w:tc>
          <w:tcPr>
            <w:tcW w:type="dxa" w:w="2300"/>
            <w:tcMar>
              <w:top w:type="dxa" w:w="60"/>
              <w:left w:type="dxa" w:w="100"/>
              <w:bottom w:type="dxa" w:w="60"/>
              <w:right w:type="dxa" w:w="100"/>
            </w:tcMar>
          </w:tcPr>
          <w:p>
            <w:pPr>
              <w:spacing w:after="0" w:line="240"/>
            </w:pPr>
            <w:r>
              <w:rPr>
                <w:rFonts w:ascii="Times New Roman" w:cs="Times New Roman" w:eastAsia="Times New Roman" w:hAnsi="Times New Roman"/>
                <w:b w:val="false"/>
                <w:bCs w:val="false"/>
                <w:sz w:val="22"/>
                <w:szCs w:val="22"/>
              </w:rPr>
              <w:t xml:space="preserve">Sewer infrastructure and major facilities</w:t>
            </w:r>
          </w:p>
        </w:tc>
        <w:tc>
          <w:tcPr>
            <w:tcW w:type="dxa" w:w="4600"/>
            <w:tcMar>
              <w:top w:type="dxa" w:w="60"/>
              <w:left w:type="dxa" w:w="100"/>
              <w:bottom w:type="dxa" w:w="60"/>
              <w:right w:type="dxa" w:w="100"/>
            </w:tcMar>
          </w:tcPr>
          <w:p>
            <w:pPr>
              <w:spacing w:after="0" w:line="240"/>
            </w:pPr>
            <w:r>
              <w:rPr>
                <w:rFonts w:ascii="Times New Roman" w:cs="Times New Roman" w:eastAsia="Times New Roman" w:hAnsi="Times New Roman"/>
                <w:b w:val="false"/>
                <w:bCs w:val="false"/>
                <w:sz w:val="22"/>
                <w:szCs w:val="22"/>
              </w:rPr>
              <w:t xml:space="preserve">Sewage collection lines, treatment and disposal facilities, and related major sewer system assets</w:t>
            </w:r>
          </w:p>
        </w:tc>
        <w:tc>
          <w:tcPr>
            <w:tcW w:type="dxa" w:w="2340"/>
            <w:tcMar>
              <w:top w:type="dxa" w:w="60"/>
              <w:left w:type="dxa" w:w="100"/>
              <w:bottom w:type="dxa" w:w="60"/>
              <w:right w:type="dxa" w:w="100"/>
            </w:tcMar>
          </w:tcPr>
          <w:p>
            <w:pPr>
              <w:spacing w:after="0" w:line="240"/>
            </w:pPr>
            <w:r>
              <w:rPr>
                <w:rFonts w:ascii="Times New Roman" w:cs="Times New Roman" w:eastAsia="Times New Roman" w:hAnsi="Times New Roman"/>
                <w:b w:val="false"/>
                <w:bCs w:val="false"/>
                <w:sz w:val="22"/>
                <w:szCs w:val="22"/>
              </w:rPr>
              <w:t xml:space="preserve">40 years</w:t>
            </w:r>
          </w:p>
        </w:tc>
      </w:tr>
      <w:tr>
        <w:trPr>
          <w:tblHeader w:val="false"/>
        </w:trPr>
        <w:tc>
          <w:tcPr>
            <w:tcW w:type="dxa" w:w="2300"/>
            <w:tcMar>
              <w:top w:type="dxa" w:w="60"/>
              <w:left w:type="dxa" w:w="100"/>
              <w:bottom w:type="dxa" w:w="60"/>
              <w:right w:type="dxa" w:w="100"/>
            </w:tcMar>
          </w:tcPr>
          <w:p>
            <w:pPr>
              <w:spacing w:after="0" w:line="240"/>
            </w:pPr>
            <w:r>
              <w:rPr>
                <w:rFonts w:ascii="Times New Roman" w:cs="Times New Roman" w:eastAsia="Times New Roman" w:hAnsi="Times New Roman"/>
                <w:b w:val="false"/>
                <w:bCs w:val="false"/>
                <w:sz w:val="22"/>
                <w:szCs w:val="22"/>
              </w:rPr>
              <w:t xml:space="preserve">Equipment (non-IT)</w:t>
            </w:r>
          </w:p>
        </w:tc>
        <w:tc>
          <w:tcPr>
            <w:tcW w:type="dxa" w:w="4600"/>
            <w:tcMar>
              <w:top w:type="dxa" w:w="60"/>
              <w:left w:type="dxa" w:w="100"/>
              <w:bottom w:type="dxa" w:w="60"/>
              <w:right w:type="dxa" w:w="100"/>
            </w:tcMar>
          </w:tcPr>
          <w:p>
            <w:pPr>
              <w:spacing w:after="0" w:line="240"/>
            </w:pPr>
            <w:r>
              <w:rPr>
                <w:rFonts w:ascii="Times New Roman" w:cs="Times New Roman" w:eastAsia="Times New Roman" w:hAnsi="Times New Roman"/>
                <w:b w:val="false"/>
                <w:bCs w:val="false"/>
                <w:sz w:val="22"/>
                <w:szCs w:val="22"/>
              </w:rPr>
              <w:t xml:space="preserve">Water and sewer pumps, chlorination and treatment equipment, meters, sewer camera equipment, and similar operating equipment</w:t>
            </w:r>
          </w:p>
        </w:tc>
        <w:tc>
          <w:tcPr>
            <w:tcW w:type="dxa" w:w="2340"/>
            <w:tcMar>
              <w:top w:type="dxa" w:w="60"/>
              <w:left w:type="dxa" w:w="100"/>
              <w:bottom w:type="dxa" w:w="60"/>
              <w:right w:type="dxa" w:w="100"/>
            </w:tcMar>
          </w:tcPr>
          <w:p>
            <w:pPr>
              <w:spacing w:after="0" w:line="240"/>
            </w:pPr>
            <w:r>
              <w:rPr>
                <w:rFonts w:ascii="Times New Roman" w:cs="Times New Roman" w:eastAsia="Times New Roman" w:hAnsi="Times New Roman"/>
                <w:b w:val="false"/>
                <w:bCs w:val="false"/>
                <w:sz w:val="22"/>
                <w:szCs w:val="22"/>
              </w:rPr>
              <w:t xml:space="preserve">10 years</w:t>
            </w:r>
          </w:p>
        </w:tc>
      </w:tr>
      <w:tr>
        <w:trPr>
          <w:tblHeader w:val="false"/>
        </w:trPr>
        <w:tc>
          <w:tcPr>
            <w:tcW w:type="dxa" w:w="2300"/>
            <w:tcMar>
              <w:top w:type="dxa" w:w="60"/>
              <w:left w:type="dxa" w:w="100"/>
              <w:bottom w:type="dxa" w:w="60"/>
              <w:right w:type="dxa" w:w="100"/>
            </w:tcMar>
          </w:tcPr>
          <w:p>
            <w:pPr>
              <w:spacing w:after="0" w:line="240"/>
            </w:pPr>
            <w:r>
              <w:rPr>
                <w:rFonts w:ascii="Times New Roman" w:cs="Times New Roman" w:eastAsia="Times New Roman" w:hAnsi="Times New Roman"/>
                <w:b w:val="false"/>
                <w:bCs w:val="false"/>
                <w:sz w:val="22"/>
                <w:szCs w:val="22"/>
              </w:rPr>
              <w:t xml:space="preserve">Vehicles and field equipment</w:t>
            </w:r>
          </w:p>
        </w:tc>
        <w:tc>
          <w:tcPr>
            <w:tcW w:type="dxa" w:w="4600"/>
            <w:tcMar>
              <w:top w:type="dxa" w:w="60"/>
              <w:left w:type="dxa" w:w="100"/>
              <w:bottom w:type="dxa" w:w="60"/>
              <w:right w:type="dxa" w:w="100"/>
            </w:tcMar>
          </w:tcPr>
          <w:p>
            <w:pPr>
              <w:spacing w:after="0" w:line="240"/>
            </w:pPr>
            <w:r>
              <w:rPr>
                <w:rFonts w:ascii="Times New Roman" w:cs="Times New Roman" w:eastAsia="Times New Roman" w:hAnsi="Times New Roman"/>
                <w:b w:val="false"/>
                <w:bCs w:val="false"/>
                <w:sz w:val="22"/>
                <w:szCs w:val="22"/>
              </w:rPr>
              <w:t xml:space="preserve">Side-by-side/UTV and similar field vehicles</w:t>
            </w:r>
          </w:p>
        </w:tc>
        <w:tc>
          <w:tcPr>
            <w:tcW w:type="dxa" w:w="2340"/>
            <w:tcMar>
              <w:top w:type="dxa" w:w="60"/>
              <w:left w:type="dxa" w:w="100"/>
              <w:bottom w:type="dxa" w:w="60"/>
              <w:right w:type="dxa" w:w="100"/>
            </w:tcMar>
          </w:tcPr>
          <w:p>
            <w:pPr>
              <w:spacing w:after="0" w:line="240"/>
            </w:pPr>
            <w:r>
              <w:rPr>
                <w:rFonts w:ascii="Times New Roman" w:cs="Times New Roman" w:eastAsia="Times New Roman" w:hAnsi="Times New Roman"/>
                <w:b w:val="false"/>
                <w:bCs w:val="false"/>
                <w:sz w:val="22"/>
                <w:szCs w:val="22"/>
              </w:rPr>
              <w:t xml:space="preserve">10 years</w:t>
            </w:r>
          </w:p>
        </w:tc>
      </w:tr>
      <w:tr>
        <w:trPr>
          <w:tblHeader w:val="false"/>
        </w:trPr>
        <w:tc>
          <w:tcPr>
            <w:tcW w:type="dxa" w:w="2300"/>
            <w:tcMar>
              <w:top w:type="dxa" w:w="60"/>
              <w:left w:type="dxa" w:w="100"/>
              <w:bottom w:type="dxa" w:w="60"/>
              <w:right w:type="dxa" w:w="100"/>
            </w:tcMar>
          </w:tcPr>
          <w:p>
            <w:pPr>
              <w:spacing w:after="0" w:line="240"/>
            </w:pPr>
            <w:r>
              <w:rPr>
                <w:rFonts w:ascii="Times New Roman" w:cs="Times New Roman" w:eastAsia="Times New Roman" w:hAnsi="Times New Roman"/>
                <w:b w:val="false"/>
                <w:bCs w:val="false"/>
                <w:sz w:val="22"/>
                <w:szCs w:val="22"/>
              </w:rPr>
              <w:t xml:space="preserve">Computers and technology equipment</w:t>
            </w:r>
          </w:p>
        </w:tc>
        <w:tc>
          <w:tcPr>
            <w:tcW w:type="dxa" w:w="4600"/>
            <w:tcMar>
              <w:top w:type="dxa" w:w="60"/>
              <w:left w:type="dxa" w:w="100"/>
              <w:bottom w:type="dxa" w:w="60"/>
              <w:right w:type="dxa" w:w="100"/>
            </w:tcMar>
          </w:tcPr>
          <w:p>
            <w:pPr>
              <w:spacing w:after="0" w:line="240"/>
            </w:pPr>
            <w:r>
              <w:rPr>
                <w:rFonts w:ascii="Times New Roman" w:cs="Times New Roman" w:eastAsia="Times New Roman" w:hAnsi="Times New Roman"/>
                <w:b w:val="false"/>
                <w:bCs w:val="false"/>
                <w:sz w:val="22"/>
                <w:szCs w:val="22"/>
              </w:rPr>
              <w:t xml:space="preserve">Computers, monitors, and related technology equipment</w:t>
            </w:r>
          </w:p>
        </w:tc>
        <w:tc>
          <w:tcPr>
            <w:tcW w:type="dxa" w:w="2340"/>
            <w:tcMar>
              <w:top w:type="dxa" w:w="60"/>
              <w:left w:type="dxa" w:w="100"/>
              <w:bottom w:type="dxa" w:w="60"/>
              <w:right w:type="dxa" w:w="100"/>
            </w:tcMar>
          </w:tcPr>
          <w:p>
            <w:pPr>
              <w:spacing w:after="0" w:line="240"/>
            </w:pPr>
            <w:r>
              <w:rPr>
                <w:rFonts w:ascii="Times New Roman" w:cs="Times New Roman" w:eastAsia="Times New Roman" w:hAnsi="Times New Roman"/>
                <w:b w:val="false"/>
                <w:bCs w:val="false"/>
                <w:sz w:val="22"/>
                <w:szCs w:val="22"/>
              </w:rPr>
              <w:t xml:space="preserve">5 years</w:t>
            </w:r>
          </w:p>
        </w:tc>
      </w:tr>
    </w:tbl>
    <w:p>
      <w:pPr>
        <w:spacing w:after="80"/>
        <w:jc w:val="both"/>
      </w:pPr>
      <w:r>
        <w:rPr>
          <w:rFonts w:ascii="Times New Roman" w:cs="Times New Roman" w:eastAsia="Times New Roman" w:hAnsi="Times New Roman"/>
          <w:sz w:val="24"/>
          <w:szCs w:val="24"/>
        </w:rPr>
        <w:t xml:space="preserve"/>
      </w:r>
    </w:p>
    <w:p>
      <w:pPr>
        <w:spacing w:after="160" w:line="276"/>
        <w:ind w:left="360"/>
        <w:jc w:val="both"/>
      </w:pPr>
      <w:r>
        <w:rPr>
          <w:rFonts w:ascii="Times New Roman" w:cs="Times New Roman" w:eastAsia="Times New Roman" w:hAnsi="Times New Roman"/>
          <w:sz w:val="24"/>
          <w:szCs w:val="24"/>
        </w:rPr>
        <w:t xml:space="preserve">Useful lives shall reflect the District’s actual experience with how long it keeps and uses each type of asset. For capital assets not specifically listed in the table, management may assign a reasonable estimated useful life based on the nature, condition, and expected service use of the asset. Where a facility is capitalized by component under paragraph (c), each component shall be assigned its own useful life.</w:t>
      </w:r>
    </w:p>
    <w:p>
      <w:pPr>
        <w:spacing w:after="160" w:line="276"/>
        <w:ind w:left="360" w:hanging="360"/>
        <w:jc w:val="both"/>
      </w:pPr>
      <w:r>
        <w:rPr>
          <w:rFonts w:ascii="Times New Roman" w:cs="Times New Roman" w:eastAsia="Times New Roman" w:hAnsi="Times New Roman"/>
          <w:sz w:val="24"/>
          <w:szCs w:val="24"/>
        </w:rPr>
        <w:t xml:space="preserve">f) </w:t>
      </w:r>
      <w:r>
        <w:rPr>
          <w:rFonts w:ascii="Times New Roman" w:cs="Times New Roman" w:eastAsia="Times New Roman" w:hAnsi="Times New Roman"/>
          <w:b/>
          <w:bCs/>
          <w:sz w:val="24"/>
          <w:szCs w:val="24"/>
        </w:rPr>
        <w:t xml:space="preserve">Annual inventory. </w:t>
      </w:r>
      <w:r>
        <w:rPr>
          <w:rFonts w:ascii="Times New Roman" w:cs="Times New Roman" w:eastAsia="Times New Roman" w:hAnsi="Times New Roman"/>
          <w:sz w:val="24"/>
          <w:szCs w:val="24"/>
        </w:rPr>
        <w:t xml:space="preserve">Each year before the annual audit, the General Manager shall physically verify the assets on the register, reconcile the register to the general ledger, and report the results to the Board. Missing, damaged, or idle assets shall be reported to the Board.</w:t>
      </w:r>
    </w:p>
    <w:p>
      <w:pPr>
        <w:spacing w:after="160" w:line="276"/>
        <w:ind w:left="360" w:hanging="360"/>
        <w:jc w:val="both"/>
      </w:pPr>
      <w:r>
        <w:rPr>
          <w:rFonts w:ascii="Times New Roman" w:cs="Times New Roman" w:eastAsia="Times New Roman" w:hAnsi="Times New Roman"/>
          <w:sz w:val="24"/>
          <w:szCs w:val="24"/>
        </w:rPr>
        <w:t xml:space="preserve">g) </w:t>
      </w:r>
      <w:r>
        <w:rPr>
          <w:rFonts w:ascii="Times New Roman" w:cs="Times New Roman" w:eastAsia="Times New Roman" w:hAnsi="Times New Roman"/>
          <w:b/>
          <w:bCs/>
          <w:sz w:val="24"/>
          <w:szCs w:val="24"/>
        </w:rPr>
        <w:t xml:space="preserve">Grant-funded assets. </w:t>
      </w:r>
      <w:r>
        <w:rPr>
          <w:rFonts w:ascii="Times New Roman" w:cs="Times New Roman" w:eastAsia="Times New Roman" w:hAnsi="Times New Roman"/>
          <w:sz w:val="24"/>
          <w:szCs w:val="24"/>
        </w:rPr>
        <w:t xml:space="preserve">Assets purchased with grant funds shall also be tracked and managed as required by the grant agreement.</w:t>
      </w:r>
    </w:p>
    <w:p>
      <w:pPr>
        <w:spacing w:after="160" w:line="276"/>
        <w:ind w:left="360" w:hanging="360"/>
        <w:jc w:val="both"/>
      </w:pPr>
      <w:r>
        <w:rPr>
          <w:rFonts w:ascii="Times New Roman" w:cs="Times New Roman" w:eastAsia="Times New Roman" w:hAnsi="Times New Roman"/>
          <w:sz w:val="24"/>
          <w:szCs w:val="24"/>
        </w:rPr>
        <w:t xml:space="preserve">h) </w:t>
      </w:r>
      <w:r>
        <w:rPr>
          <w:rFonts w:ascii="Times New Roman" w:cs="Times New Roman" w:eastAsia="Times New Roman" w:hAnsi="Times New Roman"/>
          <w:b/>
          <w:bCs/>
          <w:sz w:val="24"/>
          <w:szCs w:val="24"/>
        </w:rPr>
        <w:t xml:space="preserve">Disposals. </w:t>
      </w:r>
      <w:r>
        <w:rPr>
          <w:rFonts w:ascii="Times New Roman" w:cs="Times New Roman" w:eastAsia="Times New Roman" w:hAnsi="Times New Roman"/>
          <w:sz w:val="24"/>
          <w:szCs w:val="24"/>
        </w:rPr>
        <w:t xml:space="preserve">The Board of Directors must approve all disposals of capital assets, including any sale, trade-in, donation, transfer, or scrapping, before the disposal takes place. Documentation of the Board’s approval and the disposal shall be kept in the District’s capital asset records.</w:t>
      </w:r>
    </w:p>
    <w:p>
      <w:pPr>
        <w:spacing w:before="400"/>
        <w:jc w:val="left"/>
      </w:pPr>
      <w:r>
        <w:rPr>
          <w:rFonts w:ascii="Times New Roman" w:cs="Times New Roman" w:eastAsia="Times New Roman" w:hAnsi="Times New Roman"/>
          <w:sz w:val="24"/>
          <w:szCs w:val="24"/>
        </w:rPr>
        <w:t xml:space="preserve">Adopted: ____________________     Resolution No. __________</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2026-09-23T20:07:30.130Z</dcterms:created>
  <dcterms:modified xsi:type="dcterms:W3CDTF">2026-09-23T20:07:30.138Z</dcterms:modified>
</cp:coreProperties>
</file>

<file path=docProps/custom.xml><?xml version="1.0" encoding="utf-8"?>
<Properties xmlns="http://schemas.openxmlformats.org/officeDocument/2006/custom-properties" xmlns:vt="http://schemas.openxmlformats.org/officeDocument/2006/docPropsVTypes"/>
</file>